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7716" w:rsidRDefault="000E7716" w:rsidP="005129A5">
      <w:pPr>
        <w:jc w:val="both"/>
        <w:rPr>
          <w:rFonts w:ascii="Times New Roman" w:hAnsi="Times New Roman" w:cs="Times New Roman"/>
          <w:b/>
          <w:bCs/>
          <w:sz w:val="24"/>
          <w:szCs w:val="24"/>
          <w:u w:val="single"/>
        </w:rPr>
      </w:pPr>
      <w:r w:rsidRPr="00BE14E6">
        <w:rPr>
          <w:rFonts w:ascii="Times New Roman" w:hAnsi="Times New Roman" w:cs="Times New Roman"/>
          <w:b/>
          <w:bCs/>
          <w:sz w:val="24"/>
          <w:szCs w:val="24"/>
          <w:u w:val="single"/>
        </w:rPr>
        <w:t>PROCEDIMIENTO PARA LA OBTENCIÓN DEL CERTIFICADO QUE ACREDITE LA CONVENIENCIA Y NECESIDAD PUBLICA PARA LA CONSTRUCCION, AMPLIACION Y/U OPERACIÓN DE INSTALACIONES ELECTRICAS DE GENERACION, TRANSPORTE Y DISTRIBUCION (≥ 33kV).</w:t>
      </w:r>
    </w:p>
    <w:p w:rsidR="000E7716" w:rsidRPr="00BE14E6" w:rsidRDefault="000E7716" w:rsidP="005129A5">
      <w:pPr>
        <w:jc w:val="both"/>
        <w:rPr>
          <w:rFonts w:ascii="Times New Roman" w:hAnsi="Times New Roman" w:cs="Times New Roman"/>
          <w:b/>
          <w:bCs/>
          <w:sz w:val="24"/>
          <w:szCs w:val="24"/>
          <w:u w:val="single"/>
        </w:rPr>
      </w:pPr>
    </w:p>
    <w:p w:rsidR="000E7716" w:rsidRPr="00BE14E6" w:rsidRDefault="000E7716" w:rsidP="005129A5">
      <w:pPr>
        <w:numPr>
          <w:ilvl w:val="0"/>
          <w:numId w:val="1"/>
        </w:numPr>
        <w:spacing w:line="240" w:lineRule="auto"/>
        <w:ind w:left="142" w:hanging="142"/>
        <w:jc w:val="both"/>
        <w:textAlignment w:val="baseline"/>
        <w:rPr>
          <w:rFonts w:ascii="Times New Roman" w:hAnsi="Times New Roman" w:cs="Times New Roman"/>
          <w:b/>
          <w:bCs/>
          <w:color w:val="000000"/>
          <w:sz w:val="24"/>
          <w:szCs w:val="24"/>
          <w:lang w:eastAsia="es-AR"/>
        </w:rPr>
      </w:pPr>
      <w:r w:rsidRPr="00BE14E6">
        <w:rPr>
          <w:rFonts w:ascii="Times New Roman" w:hAnsi="Times New Roman" w:cs="Times New Roman"/>
          <w:b/>
          <w:bCs/>
          <w:color w:val="000000"/>
          <w:sz w:val="24"/>
          <w:szCs w:val="24"/>
          <w:lang w:eastAsia="es-AR"/>
        </w:rPr>
        <w:t>CONDICIONES PARA OBTENER EL CERTIFICADO DE CONVENIENCIA Y NECESIDAD PÚBLICA.</w:t>
      </w:r>
    </w:p>
    <w:p w:rsidR="000E7716" w:rsidRPr="00B27524" w:rsidRDefault="000E7716" w:rsidP="005129A5">
      <w:pPr>
        <w:spacing w:line="240" w:lineRule="auto"/>
        <w:ind w:left="142"/>
        <w:jc w:val="both"/>
        <w:rPr>
          <w:rFonts w:ascii="Times New Roman" w:hAnsi="Times New Roman" w:cs="Times New Roman"/>
          <w:sz w:val="24"/>
          <w:szCs w:val="24"/>
          <w:lang w:eastAsia="es-AR"/>
        </w:rPr>
      </w:pPr>
      <w:r w:rsidRPr="00B27524">
        <w:rPr>
          <w:rFonts w:ascii="Times New Roman" w:hAnsi="Times New Roman" w:cs="Times New Roman"/>
          <w:color w:val="000000"/>
          <w:sz w:val="24"/>
          <w:szCs w:val="24"/>
          <w:lang w:eastAsia="es-AR"/>
        </w:rPr>
        <w:t>Para obtener el certificado que acredite la conveniencia y necesidad pública para la construcción o ampliación de instalaciones que requieran tal calificación del Ente Provincial Regulador Eléctrico de la Provincia de Mendoza, las Distribuidoras u otros interesados, deberán presentar la solicitud del certificado correspondiente, incorporando a la misma la siguiente información mínima:</w:t>
      </w:r>
    </w:p>
    <w:p w:rsidR="000E7716" w:rsidRPr="00BE14E6"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Características generales del Proyecto, justificación, descripción de las diferentes alternativas analizadas y costo de inversión estimado.</w:t>
      </w:r>
    </w:p>
    <w:p w:rsidR="000E7716" w:rsidRPr="00BE14E6"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Ubicación prevista para el Proyecto (detalle de posibles alternativas) (traza/s, en el caso de una línea; terreno/s en el caso de una estación transformadora, parque fotovoltaico, pequeño aprovechamiento hidroeléctrico, etc.), estado de la gestión de adquisición</w:t>
      </w:r>
      <w:r>
        <w:rPr>
          <w:rFonts w:ascii="Times New Roman" w:hAnsi="Times New Roman" w:cs="Times New Roman"/>
          <w:color w:val="000000"/>
          <w:sz w:val="24"/>
          <w:szCs w:val="24"/>
          <w:lang w:eastAsia="es-AR"/>
        </w:rPr>
        <w:t>, servidumbres</w:t>
      </w:r>
      <w:r w:rsidRPr="00BE14E6">
        <w:rPr>
          <w:rFonts w:ascii="Times New Roman" w:hAnsi="Times New Roman" w:cs="Times New Roman"/>
          <w:color w:val="000000"/>
          <w:sz w:val="24"/>
          <w:szCs w:val="24"/>
          <w:lang w:eastAsia="es-AR"/>
        </w:rPr>
        <w:t xml:space="preserve"> y/o permisos de paso de los terrenos a utilizar.</w:t>
      </w:r>
    </w:p>
    <w:p w:rsidR="000E7716" w:rsidRPr="00BE14E6"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Descripción y características técnicas de las instalaciones existentes, o previstas, de vinculación del Proyecto con el SADI</w:t>
      </w:r>
      <w:r>
        <w:rPr>
          <w:rFonts w:ascii="Times New Roman" w:hAnsi="Times New Roman" w:cs="Times New Roman"/>
          <w:color w:val="000000"/>
          <w:sz w:val="24"/>
          <w:szCs w:val="24"/>
          <w:lang w:eastAsia="es-AR"/>
        </w:rPr>
        <w:t>.</w:t>
      </w:r>
    </w:p>
    <w:p w:rsidR="000E7716" w:rsidRPr="00BE14E6"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Estudios de demanda relacionados con el Proyecto.</w:t>
      </w:r>
    </w:p>
    <w:p w:rsidR="000E7716" w:rsidRPr="00B84BA4"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84BA4">
        <w:rPr>
          <w:rFonts w:ascii="Times New Roman" w:hAnsi="Times New Roman" w:cs="Times New Roman"/>
          <w:color w:val="000000"/>
          <w:sz w:val="24"/>
          <w:szCs w:val="24"/>
          <w:lang w:eastAsia="es-AR"/>
        </w:rPr>
        <w:t>Fecha de habilitación requerida para las nuevas instalaciones y</w:t>
      </w:r>
      <w:r w:rsidRPr="00B84BA4">
        <w:rPr>
          <w:rFonts w:ascii="Times New Roman" w:hAnsi="Times New Roman" w:cs="Times New Roman"/>
          <w:strike/>
          <w:color w:val="000000"/>
          <w:sz w:val="24"/>
          <w:szCs w:val="24"/>
          <w:lang w:eastAsia="es-AR"/>
        </w:rPr>
        <w:t>l</w:t>
      </w:r>
      <w:r w:rsidRPr="00B84BA4">
        <w:rPr>
          <w:rFonts w:ascii="Times New Roman" w:hAnsi="Times New Roman" w:cs="Times New Roman"/>
          <w:color w:val="000000"/>
          <w:sz w:val="24"/>
          <w:szCs w:val="24"/>
          <w:lang w:eastAsia="es-AR"/>
        </w:rPr>
        <w:t xml:space="preserve"> cronograma de construcción de ellas.</w:t>
      </w:r>
    </w:p>
    <w:p w:rsidR="000E7716" w:rsidRPr="00B84BA4"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84BA4">
        <w:rPr>
          <w:rFonts w:ascii="Times New Roman" w:hAnsi="Times New Roman" w:cs="Times New Roman"/>
          <w:color w:val="000000"/>
          <w:sz w:val="24"/>
          <w:szCs w:val="24"/>
          <w:lang w:eastAsia="es-AR"/>
        </w:rPr>
        <w:t>Requerimientos del servicio de transporte y transformación, en periodos de máxima demanda, de verano e invierno, previstos para el año de puesta en servicio del Proyecto y los cuatro siguientes.</w:t>
      </w:r>
    </w:p>
    <w:p w:rsidR="000E7716" w:rsidRPr="00B84BA4"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84BA4">
        <w:rPr>
          <w:rFonts w:ascii="Times New Roman" w:hAnsi="Times New Roman" w:cs="Times New Roman"/>
          <w:color w:val="000000"/>
          <w:sz w:val="24"/>
          <w:szCs w:val="24"/>
          <w:lang w:eastAsia="es-AR"/>
        </w:rPr>
        <w:t>Estudios del sistema eléctrico vinculado al Proyecto, en estado permanente, en su área de influencia, necesarios para verificar la factibilidad técnica de la solicitud.</w:t>
      </w:r>
    </w:p>
    <w:p w:rsidR="000E7716" w:rsidRPr="00B84BA4"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84BA4">
        <w:rPr>
          <w:rFonts w:ascii="Times New Roman" w:hAnsi="Times New Roman" w:cs="Times New Roman"/>
          <w:color w:val="000000"/>
          <w:sz w:val="24"/>
          <w:szCs w:val="24"/>
          <w:lang w:eastAsia="es-AR"/>
        </w:rPr>
        <w:t>Evaluación Técnica del Proyecto por parte de la Empresa Distribuidora y/o Generadora, a través de cuyas instalaciones se acceda al SADI, y de DISTROCUYO.</w:t>
      </w:r>
    </w:p>
    <w:p w:rsidR="000E7716" w:rsidRPr="00BE14E6"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Detalles de los eventuales compromisos de suministro de energía eléctrica que posea el solicitante condicionados a la concreción del Proyecto.</w:t>
      </w:r>
    </w:p>
    <w:p w:rsidR="000E7716"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 xml:space="preserve">Toda otra información relevante para evaluar la solicitud. </w:t>
      </w:r>
    </w:p>
    <w:p w:rsidR="000E7716" w:rsidRPr="00B84BA4" w:rsidRDefault="000E7716" w:rsidP="005129A5">
      <w:pPr>
        <w:numPr>
          <w:ilvl w:val="0"/>
          <w:numId w:val="2"/>
        </w:numPr>
        <w:spacing w:after="0" w:line="240" w:lineRule="auto"/>
        <w:ind w:left="567" w:hanging="425"/>
        <w:jc w:val="both"/>
        <w:textAlignment w:val="baseline"/>
        <w:rPr>
          <w:rFonts w:ascii="Times New Roman" w:hAnsi="Times New Roman" w:cs="Times New Roman"/>
          <w:color w:val="000000"/>
          <w:sz w:val="24"/>
          <w:szCs w:val="24"/>
          <w:lang w:eastAsia="es-AR"/>
        </w:rPr>
      </w:pPr>
      <w:r w:rsidRPr="00B84BA4">
        <w:rPr>
          <w:rFonts w:ascii="Times New Roman" w:hAnsi="Times New Roman" w:cs="Times New Roman"/>
          <w:color w:val="000000"/>
          <w:sz w:val="24"/>
          <w:szCs w:val="24"/>
          <w:lang w:eastAsia="es-AR"/>
        </w:rPr>
        <w:t>En el caso de instalaciones de generación, modalidad de operación técnica prevista.</w:t>
      </w:r>
    </w:p>
    <w:p w:rsidR="000E7716" w:rsidRPr="00BE14E6" w:rsidRDefault="000E7716" w:rsidP="005129A5">
      <w:pPr>
        <w:spacing w:line="240" w:lineRule="auto"/>
        <w:jc w:val="both"/>
        <w:rPr>
          <w:rFonts w:ascii="Times New Roman" w:hAnsi="Times New Roman" w:cs="Times New Roman"/>
          <w:sz w:val="24"/>
          <w:szCs w:val="24"/>
          <w:lang w:eastAsia="es-AR"/>
        </w:rPr>
      </w:pPr>
    </w:p>
    <w:p w:rsidR="000E7716" w:rsidRPr="00BE14E6" w:rsidRDefault="000E7716" w:rsidP="005129A5">
      <w:pPr>
        <w:numPr>
          <w:ilvl w:val="0"/>
          <w:numId w:val="3"/>
        </w:numPr>
        <w:tabs>
          <w:tab w:val="clear" w:pos="720"/>
          <w:tab w:val="num" w:pos="-284"/>
        </w:tabs>
        <w:spacing w:line="240" w:lineRule="auto"/>
        <w:ind w:left="142" w:hanging="142"/>
        <w:jc w:val="both"/>
        <w:textAlignment w:val="baseline"/>
        <w:rPr>
          <w:rFonts w:ascii="Times New Roman" w:hAnsi="Times New Roman" w:cs="Times New Roman"/>
          <w:b/>
          <w:bCs/>
          <w:color w:val="000000"/>
          <w:sz w:val="24"/>
          <w:szCs w:val="24"/>
          <w:lang w:eastAsia="es-AR"/>
        </w:rPr>
      </w:pPr>
      <w:r w:rsidRPr="00BE14E6">
        <w:rPr>
          <w:rFonts w:ascii="Times New Roman" w:hAnsi="Times New Roman" w:cs="Times New Roman"/>
          <w:b/>
          <w:bCs/>
          <w:color w:val="000000"/>
          <w:sz w:val="24"/>
          <w:szCs w:val="24"/>
          <w:lang w:eastAsia="es-AR"/>
        </w:rPr>
        <w:t>ESTUDIOS TECNICOS A REALIZAR.</w:t>
      </w:r>
    </w:p>
    <w:p w:rsidR="000E7716" w:rsidRPr="00BE14E6" w:rsidRDefault="000E7716" w:rsidP="005129A5">
      <w:pPr>
        <w:spacing w:line="240" w:lineRule="auto"/>
        <w:ind w:left="142"/>
        <w:jc w:val="both"/>
        <w:rPr>
          <w:rFonts w:ascii="Times New Roman" w:hAnsi="Times New Roman" w:cs="Times New Roman"/>
          <w:sz w:val="24"/>
          <w:szCs w:val="24"/>
          <w:lang w:eastAsia="es-AR"/>
        </w:rPr>
      </w:pPr>
      <w:r w:rsidRPr="00BE14E6">
        <w:rPr>
          <w:rFonts w:ascii="Times New Roman" w:hAnsi="Times New Roman" w:cs="Times New Roman"/>
          <w:color w:val="000000"/>
          <w:sz w:val="24"/>
          <w:szCs w:val="24"/>
          <w:lang w:eastAsia="es-AR"/>
        </w:rPr>
        <w:t>Previo a habilitarse en el Sistema Eléctrico Provincial, una nueva obra de generación, transporte o distribución ( ≥33kV); o conectarse una demanda (≥ 1MW) o realizarse una ampliación de similares características, debe verificarse que este ingreso no producirá efectos adversos en el sistema.</w:t>
      </w:r>
    </w:p>
    <w:p w:rsidR="000E7716" w:rsidRDefault="000E7716" w:rsidP="005129A5">
      <w:pPr>
        <w:spacing w:line="240" w:lineRule="auto"/>
        <w:ind w:left="142"/>
        <w:jc w:val="both"/>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Para ello deben realizarse, como mínimo los siguientes estudios en régimen permanente:</w:t>
      </w:r>
    </w:p>
    <w:p w:rsidR="000E7716" w:rsidRPr="00BE14E6" w:rsidRDefault="000E7716" w:rsidP="005129A5">
      <w:pPr>
        <w:spacing w:line="240" w:lineRule="auto"/>
        <w:ind w:left="142"/>
        <w:jc w:val="both"/>
        <w:rPr>
          <w:rFonts w:ascii="Times New Roman" w:hAnsi="Times New Roman" w:cs="Times New Roman"/>
          <w:sz w:val="24"/>
          <w:szCs w:val="24"/>
          <w:lang w:eastAsia="es-AR"/>
        </w:rPr>
      </w:pPr>
    </w:p>
    <w:p w:rsidR="000E7716" w:rsidRPr="00BE14E6" w:rsidRDefault="000E7716" w:rsidP="005129A5">
      <w:pPr>
        <w:numPr>
          <w:ilvl w:val="0"/>
          <w:numId w:val="4"/>
        </w:numPr>
        <w:tabs>
          <w:tab w:val="clear" w:pos="720"/>
        </w:tabs>
        <w:spacing w:after="0" w:line="240" w:lineRule="auto"/>
        <w:ind w:left="142" w:firstLine="0"/>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Estudios de Flujo de Potencias</w:t>
      </w:r>
    </w:p>
    <w:p w:rsidR="000E7716" w:rsidRPr="00BE14E6" w:rsidRDefault="000E7716" w:rsidP="005129A5">
      <w:pPr>
        <w:numPr>
          <w:ilvl w:val="0"/>
          <w:numId w:val="4"/>
        </w:numPr>
        <w:tabs>
          <w:tab w:val="clear" w:pos="720"/>
          <w:tab w:val="num" w:pos="-284"/>
        </w:tabs>
        <w:spacing w:line="240" w:lineRule="auto"/>
        <w:ind w:left="142" w:firstLine="0"/>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Estudios de Cortocircuitos. (En el caso de ingreso de demanda, solamente, no se requerirá este estudio).</w:t>
      </w:r>
    </w:p>
    <w:p w:rsidR="000E7716" w:rsidRPr="00BE14E6" w:rsidRDefault="000E7716" w:rsidP="005129A5">
      <w:pPr>
        <w:spacing w:line="240" w:lineRule="auto"/>
        <w:ind w:left="142"/>
        <w:jc w:val="both"/>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Los estudios deberán realizarse, en configuración normal y ante contingencias simples, más probables, de acuerdo con lo establecido en el punto 4.1. ESTUDIOS ELECTRICOS EN REGIMEN PERMANENTE DEL PROCEDIMIENTO TECNICO N° 1 – ESTUDIOS REQUERIDOS PARA LA PRESENTACION DE LA SOLICITUD DE ACCESO y AMPLIACIONES AL SISTEMA DE TRANSPORTE, de LOS PROCEDIMIENTOS de CAMMESA.</w:t>
      </w:r>
    </w:p>
    <w:p w:rsidR="000E7716" w:rsidRPr="00BE14E6" w:rsidRDefault="000E7716" w:rsidP="005129A5">
      <w:pPr>
        <w:spacing w:line="240" w:lineRule="auto"/>
        <w:ind w:left="142"/>
        <w:jc w:val="both"/>
        <w:rPr>
          <w:rFonts w:ascii="Times New Roman" w:hAnsi="Times New Roman" w:cs="Times New Roman"/>
          <w:sz w:val="24"/>
          <w:szCs w:val="24"/>
          <w:lang w:eastAsia="es-AR"/>
        </w:rPr>
      </w:pPr>
      <w:r w:rsidRPr="00BE14E6">
        <w:rPr>
          <w:rFonts w:ascii="Times New Roman" w:hAnsi="Times New Roman" w:cs="Times New Roman"/>
          <w:color w:val="000000"/>
          <w:sz w:val="24"/>
          <w:szCs w:val="24"/>
          <w:lang w:eastAsia="es-AR"/>
        </w:rPr>
        <w:t>Para el caso de estudios de acceso al SADI de Generación Renovable Intermitente (GRI), para la elaboración de los escenarios de estudio, deberá tenerse en cuenta lo especificado en el Anexo 1 del Procedimiento Técnico Nº 1 de CAMMESA</w:t>
      </w:r>
      <w:r>
        <w:rPr>
          <w:rFonts w:ascii="Times New Roman" w:hAnsi="Times New Roman" w:cs="Times New Roman"/>
          <w:color w:val="000000"/>
          <w:sz w:val="24"/>
          <w:szCs w:val="24"/>
          <w:lang w:eastAsia="es-AR"/>
        </w:rPr>
        <w:t xml:space="preserve"> </w:t>
      </w:r>
      <w:r w:rsidRPr="00BE14E6">
        <w:rPr>
          <w:rFonts w:ascii="Times New Roman" w:hAnsi="Times New Roman" w:cs="Times New Roman"/>
          <w:color w:val="000000"/>
          <w:sz w:val="24"/>
          <w:szCs w:val="24"/>
          <w:lang w:eastAsia="es-AR"/>
        </w:rPr>
        <w:t>y analizarse si:</w:t>
      </w:r>
    </w:p>
    <w:p w:rsidR="000E7716" w:rsidRPr="00BE14E6" w:rsidRDefault="000E7716" w:rsidP="005129A5">
      <w:pPr>
        <w:numPr>
          <w:ilvl w:val="0"/>
          <w:numId w:val="5"/>
        </w:numPr>
        <w:tabs>
          <w:tab w:val="clear" w:pos="720"/>
          <w:tab w:val="num" w:pos="-426"/>
        </w:tabs>
        <w:spacing w:after="0" w:line="240" w:lineRule="auto"/>
        <w:ind w:left="142" w:firstLine="0"/>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Los niveles de tensión se mantienen dentro de los límites permitidos en el marco regulatorio vigente.</w:t>
      </w:r>
    </w:p>
    <w:p w:rsidR="000E7716" w:rsidRPr="00BE14E6" w:rsidRDefault="000E7716" w:rsidP="005129A5">
      <w:pPr>
        <w:numPr>
          <w:ilvl w:val="0"/>
          <w:numId w:val="5"/>
        </w:numPr>
        <w:tabs>
          <w:tab w:val="clear" w:pos="720"/>
          <w:tab w:val="num" w:pos="-426"/>
        </w:tabs>
        <w:spacing w:after="0" w:line="240" w:lineRule="auto"/>
        <w:ind w:left="142" w:firstLine="0"/>
        <w:jc w:val="both"/>
        <w:textAlignment w:val="baseline"/>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Se producen alteraciones de servicio como tensiones fuera de los límites permitidos, sobrecargas, u otros efectos que puedan conducir a cortes de carga y/o afectar al equipamiento existente.</w:t>
      </w:r>
    </w:p>
    <w:p w:rsidR="000E7716" w:rsidRPr="00BE14E6" w:rsidRDefault="000E7716" w:rsidP="005129A5">
      <w:pPr>
        <w:spacing w:line="240" w:lineRule="auto"/>
        <w:jc w:val="both"/>
        <w:rPr>
          <w:rFonts w:ascii="Times New Roman" w:hAnsi="Times New Roman" w:cs="Times New Roman"/>
          <w:sz w:val="24"/>
          <w:szCs w:val="24"/>
          <w:lang w:eastAsia="es-AR"/>
        </w:rPr>
      </w:pPr>
    </w:p>
    <w:p w:rsidR="000E7716" w:rsidRPr="00BE14E6" w:rsidRDefault="000E7716" w:rsidP="005129A5">
      <w:pPr>
        <w:numPr>
          <w:ilvl w:val="0"/>
          <w:numId w:val="3"/>
        </w:numPr>
        <w:tabs>
          <w:tab w:val="clear" w:pos="720"/>
          <w:tab w:val="num" w:pos="-284"/>
        </w:tabs>
        <w:spacing w:line="240" w:lineRule="auto"/>
        <w:ind w:left="142" w:hanging="142"/>
        <w:jc w:val="both"/>
        <w:textAlignment w:val="baseline"/>
        <w:rPr>
          <w:rFonts w:ascii="Times New Roman" w:hAnsi="Times New Roman" w:cs="Times New Roman"/>
          <w:b/>
          <w:bCs/>
          <w:color w:val="000000"/>
          <w:sz w:val="24"/>
          <w:szCs w:val="24"/>
          <w:lang w:eastAsia="es-AR"/>
        </w:rPr>
      </w:pPr>
      <w:r w:rsidRPr="00BE14E6">
        <w:rPr>
          <w:rFonts w:ascii="Times New Roman" w:hAnsi="Times New Roman" w:cs="Times New Roman"/>
          <w:b/>
          <w:bCs/>
          <w:color w:val="000000"/>
          <w:sz w:val="24"/>
          <w:szCs w:val="24"/>
          <w:lang w:eastAsia="es-AR"/>
        </w:rPr>
        <w:t>PRESENTACION.</w:t>
      </w:r>
    </w:p>
    <w:p w:rsidR="000E7716" w:rsidRPr="00BE14E6" w:rsidRDefault="000E7716" w:rsidP="005129A5">
      <w:pPr>
        <w:spacing w:after="0" w:line="240" w:lineRule="auto"/>
        <w:ind w:left="142"/>
        <w:jc w:val="both"/>
        <w:rPr>
          <w:rFonts w:ascii="Times New Roman" w:hAnsi="Times New Roman" w:cs="Times New Roman"/>
          <w:sz w:val="24"/>
          <w:szCs w:val="24"/>
          <w:lang w:eastAsia="es-AR"/>
        </w:rPr>
      </w:pPr>
      <w:r w:rsidRPr="00BE14E6">
        <w:rPr>
          <w:rFonts w:ascii="Times New Roman" w:hAnsi="Times New Roman" w:cs="Times New Roman"/>
          <w:color w:val="000000"/>
          <w:sz w:val="24"/>
          <w:szCs w:val="24"/>
          <w:lang w:eastAsia="es-AR"/>
        </w:rPr>
        <w:t xml:space="preserve">La solicitud deberá ser entregada en papel, en original y una copia, y en </w:t>
      </w:r>
      <w:r w:rsidRPr="00BE14E6">
        <w:rPr>
          <w:rStyle w:val="st"/>
        </w:rPr>
        <w:t>soporte digital en disco óptico</w:t>
      </w:r>
      <w:r w:rsidRPr="00BE14E6">
        <w:rPr>
          <w:rFonts w:ascii="Times New Roman" w:hAnsi="Times New Roman" w:cs="Times New Roman"/>
          <w:color w:val="000000"/>
          <w:sz w:val="24"/>
          <w:szCs w:val="24"/>
          <w:lang w:eastAsia="es-AR"/>
        </w:rPr>
        <w:t>, todo en idioma español acompañada de la memoria técnica, detallando la interpretación de los resultados obtenidos en los estudios e incluyendo la base de datos utilizada, con los datos correspondientes a la nueva instalación o ampliación, cuya autorización de conexión se solicita</w:t>
      </w:r>
      <w:r>
        <w:rPr>
          <w:rFonts w:ascii="Times New Roman" w:hAnsi="Times New Roman" w:cs="Times New Roman"/>
          <w:color w:val="000000"/>
          <w:sz w:val="24"/>
          <w:szCs w:val="24"/>
          <w:lang w:eastAsia="es-AR"/>
        </w:rPr>
        <w:t>.</w:t>
      </w:r>
    </w:p>
    <w:p w:rsidR="000E7716" w:rsidRPr="00BE14E6" w:rsidRDefault="000E7716" w:rsidP="005129A5">
      <w:pPr>
        <w:spacing w:line="240" w:lineRule="auto"/>
        <w:jc w:val="both"/>
        <w:rPr>
          <w:rFonts w:ascii="Times New Roman" w:hAnsi="Times New Roman" w:cs="Times New Roman"/>
          <w:sz w:val="24"/>
          <w:szCs w:val="24"/>
          <w:lang w:eastAsia="es-AR"/>
        </w:rPr>
      </w:pPr>
    </w:p>
    <w:p w:rsidR="000E7716" w:rsidRPr="00BE14E6" w:rsidRDefault="000E7716" w:rsidP="005129A5">
      <w:pPr>
        <w:numPr>
          <w:ilvl w:val="0"/>
          <w:numId w:val="3"/>
        </w:numPr>
        <w:tabs>
          <w:tab w:val="clear" w:pos="720"/>
          <w:tab w:val="num" w:pos="-284"/>
        </w:tabs>
        <w:spacing w:line="240" w:lineRule="auto"/>
        <w:ind w:left="142" w:hanging="142"/>
        <w:jc w:val="both"/>
        <w:textAlignment w:val="baseline"/>
        <w:rPr>
          <w:rFonts w:ascii="Times New Roman" w:hAnsi="Times New Roman" w:cs="Times New Roman"/>
          <w:b/>
          <w:bCs/>
          <w:color w:val="000000"/>
          <w:sz w:val="24"/>
          <w:szCs w:val="24"/>
          <w:lang w:eastAsia="es-AR"/>
        </w:rPr>
      </w:pPr>
      <w:r w:rsidRPr="00BE14E6">
        <w:rPr>
          <w:rFonts w:ascii="Times New Roman" w:hAnsi="Times New Roman" w:cs="Times New Roman"/>
          <w:b/>
          <w:bCs/>
          <w:color w:val="000000"/>
          <w:sz w:val="24"/>
          <w:szCs w:val="24"/>
          <w:lang w:eastAsia="es-AR"/>
        </w:rPr>
        <w:t xml:space="preserve">PROCEDIMIENTO DE EVALUACIÓN, PLAZOS Y EMISION DEL CERTIFICADO DE CONVENIENCIA Y NECESIDAD PÚBLICA. </w:t>
      </w:r>
    </w:p>
    <w:p w:rsidR="000E7716" w:rsidRPr="00BE14E6" w:rsidRDefault="000E7716" w:rsidP="005129A5">
      <w:pPr>
        <w:spacing w:after="0" w:line="240" w:lineRule="auto"/>
        <w:jc w:val="both"/>
        <w:rPr>
          <w:rFonts w:ascii="Times New Roman" w:hAnsi="Times New Roman" w:cs="Times New Roman"/>
          <w:sz w:val="24"/>
          <w:szCs w:val="24"/>
          <w:lang w:eastAsia="es-AR"/>
        </w:rPr>
      </w:pPr>
    </w:p>
    <w:p w:rsidR="000E7716" w:rsidRPr="00BE14E6" w:rsidRDefault="000E7716" w:rsidP="005129A5">
      <w:pPr>
        <w:spacing w:after="0" w:line="240" w:lineRule="auto"/>
        <w:ind w:left="142"/>
        <w:jc w:val="both"/>
        <w:rPr>
          <w:rFonts w:ascii="Times New Roman" w:hAnsi="Times New Roman" w:cs="Times New Roman"/>
          <w:sz w:val="24"/>
          <w:szCs w:val="24"/>
          <w:lang w:eastAsia="es-AR"/>
        </w:rPr>
      </w:pPr>
      <w:r>
        <w:rPr>
          <w:rFonts w:ascii="Times New Roman" w:hAnsi="Times New Roman" w:cs="Times New Roman"/>
          <w:color w:val="000000"/>
          <w:sz w:val="24"/>
          <w:szCs w:val="24"/>
          <w:lang w:eastAsia="es-AR"/>
        </w:rPr>
        <w:t xml:space="preserve">Recibida la </w:t>
      </w:r>
      <w:r w:rsidRPr="00BE14E6">
        <w:rPr>
          <w:rFonts w:ascii="Times New Roman" w:hAnsi="Times New Roman" w:cs="Times New Roman"/>
          <w:color w:val="000000"/>
          <w:sz w:val="24"/>
          <w:szCs w:val="24"/>
          <w:lang w:eastAsia="es-AR"/>
        </w:rPr>
        <w:t xml:space="preserve">solicitud para la emisión del Certificado de Conveniencia y Necesidad Pública, el EPRE procederá a analizarla y </w:t>
      </w:r>
      <w:r>
        <w:rPr>
          <w:rFonts w:ascii="Times New Roman" w:hAnsi="Times New Roman" w:cs="Times New Roman"/>
          <w:color w:val="000000"/>
          <w:sz w:val="24"/>
          <w:szCs w:val="24"/>
          <w:lang w:eastAsia="es-AR"/>
        </w:rPr>
        <w:t xml:space="preserve">podrá requerir </w:t>
      </w:r>
      <w:r w:rsidRPr="00BE14E6">
        <w:rPr>
          <w:rFonts w:ascii="Times New Roman" w:hAnsi="Times New Roman" w:cs="Times New Roman"/>
          <w:color w:val="000000"/>
          <w:sz w:val="24"/>
          <w:szCs w:val="24"/>
          <w:lang w:eastAsia="es-AR"/>
        </w:rPr>
        <w:t xml:space="preserve">del interesado, de considerarse necesario, la documentación faltante y/o la corrección de la presentada. </w:t>
      </w:r>
      <w:r>
        <w:rPr>
          <w:rFonts w:ascii="Times New Roman" w:hAnsi="Times New Roman" w:cs="Times New Roman"/>
          <w:color w:val="000000"/>
          <w:sz w:val="24"/>
          <w:szCs w:val="24"/>
          <w:lang w:eastAsia="es-AR"/>
        </w:rPr>
        <w:t xml:space="preserve"> </w:t>
      </w:r>
      <w:r w:rsidRPr="00031903">
        <w:rPr>
          <w:rFonts w:ascii="Times New Roman" w:hAnsi="Times New Roman" w:cs="Times New Roman"/>
          <w:color w:val="FF0000"/>
          <w:sz w:val="24"/>
          <w:szCs w:val="24"/>
          <w:lang w:eastAsia="es-AR"/>
        </w:rPr>
        <w:t>Los plazos serán los previstos en la Ley de Procedimientos Administrativos.</w:t>
      </w:r>
      <w:r>
        <w:rPr>
          <w:rFonts w:ascii="Times New Roman" w:hAnsi="Times New Roman" w:cs="Times New Roman"/>
          <w:color w:val="000000"/>
          <w:sz w:val="24"/>
          <w:szCs w:val="24"/>
          <w:lang w:eastAsia="es-AR"/>
        </w:rPr>
        <w:t xml:space="preserve"> </w:t>
      </w:r>
      <w:r w:rsidRPr="00BE14E6">
        <w:rPr>
          <w:rFonts w:ascii="Times New Roman" w:hAnsi="Times New Roman" w:cs="Times New Roman"/>
          <w:color w:val="000000"/>
          <w:sz w:val="24"/>
          <w:szCs w:val="24"/>
          <w:lang w:eastAsia="es-AR"/>
        </w:rPr>
        <w:t xml:space="preserve"> </w:t>
      </w:r>
    </w:p>
    <w:p w:rsidR="000E7716" w:rsidRDefault="000E7716" w:rsidP="005129A5">
      <w:pPr>
        <w:spacing w:after="0" w:line="240" w:lineRule="auto"/>
        <w:ind w:left="284"/>
        <w:jc w:val="both"/>
        <w:rPr>
          <w:rFonts w:ascii="Times New Roman" w:hAnsi="Times New Roman" w:cs="Times New Roman"/>
          <w:color w:val="000000"/>
          <w:sz w:val="24"/>
          <w:szCs w:val="24"/>
          <w:lang w:eastAsia="es-AR"/>
        </w:rPr>
      </w:pPr>
    </w:p>
    <w:p w:rsidR="000E7716" w:rsidRDefault="000E7716" w:rsidP="005129A5">
      <w:pPr>
        <w:spacing w:after="0" w:line="240" w:lineRule="auto"/>
        <w:ind w:left="142"/>
        <w:jc w:val="both"/>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 xml:space="preserve">Concluida esa etapa y habiéndose completada toda la documentación necesaria, la emisión del Certificado se realizará en un plazo de </w:t>
      </w:r>
      <w:r>
        <w:rPr>
          <w:rFonts w:ascii="Times New Roman" w:hAnsi="Times New Roman" w:cs="Times New Roman"/>
          <w:color w:val="000000"/>
          <w:sz w:val="24"/>
          <w:szCs w:val="24"/>
          <w:lang w:eastAsia="es-AR"/>
        </w:rPr>
        <w:t>veinte</w:t>
      </w:r>
      <w:r w:rsidRPr="00BE14E6">
        <w:rPr>
          <w:rFonts w:ascii="Times New Roman" w:hAnsi="Times New Roman" w:cs="Times New Roman"/>
          <w:color w:val="000000"/>
          <w:sz w:val="24"/>
          <w:szCs w:val="24"/>
          <w:lang w:eastAsia="es-AR"/>
        </w:rPr>
        <w:t xml:space="preserve"> </w:t>
      </w:r>
      <w:r>
        <w:rPr>
          <w:rFonts w:ascii="Times New Roman" w:hAnsi="Times New Roman" w:cs="Times New Roman"/>
          <w:color w:val="000000"/>
          <w:sz w:val="24"/>
          <w:szCs w:val="24"/>
          <w:lang w:eastAsia="es-AR"/>
        </w:rPr>
        <w:t xml:space="preserve">(20) días </w:t>
      </w:r>
      <w:r w:rsidRPr="00BE14E6">
        <w:rPr>
          <w:rFonts w:ascii="Times New Roman" w:hAnsi="Times New Roman" w:cs="Times New Roman"/>
          <w:color w:val="000000"/>
          <w:sz w:val="24"/>
          <w:szCs w:val="24"/>
          <w:lang w:eastAsia="es-AR"/>
        </w:rPr>
        <w:t>donde se incluirán las recomendaciones que el EPRE considere pertinentes.</w:t>
      </w:r>
    </w:p>
    <w:p w:rsidR="000E7716" w:rsidRPr="00BE14E6" w:rsidRDefault="000E7716" w:rsidP="005129A5">
      <w:pPr>
        <w:spacing w:after="0" w:line="240" w:lineRule="auto"/>
        <w:ind w:left="142"/>
        <w:jc w:val="both"/>
        <w:rPr>
          <w:rFonts w:ascii="Times New Roman" w:hAnsi="Times New Roman" w:cs="Times New Roman"/>
          <w:sz w:val="24"/>
          <w:szCs w:val="24"/>
          <w:lang w:eastAsia="es-AR"/>
        </w:rPr>
      </w:pPr>
    </w:p>
    <w:p w:rsidR="000E7716" w:rsidRDefault="000E7716" w:rsidP="005129A5">
      <w:pPr>
        <w:spacing w:after="0" w:line="240" w:lineRule="auto"/>
        <w:ind w:left="142"/>
        <w:jc w:val="both"/>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 xml:space="preserve">De no emitirse el Certificado, el EPRE notificará al solicitante, los motivos y las posibles adecuaciones que deben implementarse para que su emisión sea procedente. </w:t>
      </w:r>
    </w:p>
    <w:p w:rsidR="000E7716" w:rsidRDefault="000E7716" w:rsidP="005129A5">
      <w:pPr>
        <w:spacing w:after="0" w:line="240" w:lineRule="auto"/>
        <w:ind w:left="142"/>
        <w:jc w:val="both"/>
        <w:rPr>
          <w:rFonts w:ascii="Times New Roman" w:hAnsi="Times New Roman" w:cs="Times New Roman"/>
          <w:color w:val="000000"/>
          <w:sz w:val="24"/>
          <w:szCs w:val="24"/>
          <w:lang w:eastAsia="es-AR"/>
        </w:rPr>
      </w:pPr>
    </w:p>
    <w:p w:rsidR="000E7716" w:rsidRPr="00BE14E6" w:rsidRDefault="000E7716" w:rsidP="005129A5">
      <w:pPr>
        <w:spacing w:after="0" w:line="240" w:lineRule="auto"/>
        <w:ind w:left="142"/>
        <w:jc w:val="both"/>
        <w:rPr>
          <w:rFonts w:ascii="Times New Roman" w:hAnsi="Times New Roman" w:cs="Times New Roman"/>
          <w:color w:val="000000"/>
          <w:sz w:val="24"/>
          <w:szCs w:val="24"/>
          <w:lang w:eastAsia="es-AR"/>
        </w:rPr>
      </w:pPr>
      <w:r w:rsidRPr="00B84BA4">
        <w:rPr>
          <w:rFonts w:ascii="Times New Roman" w:hAnsi="Times New Roman" w:cs="Times New Roman"/>
          <w:color w:val="000000"/>
          <w:sz w:val="24"/>
          <w:szCs w:val="24"/>
          <w:lang w:eastAsia="es-AR"/>
        </w:rPr>
        <w:t>El otorgamiento del Certificado de Conveniencia y Necesidad Pública por el EPRE, comprende el reconocimiento de la aptitud técnica de la obra y su afectación al servicio público; no exime a los concesionarios del Servicio Público de Distribución y Transporte de Electricidad de la obligación de tramitar los demás permisos que correspondan ante las autoridades municipales, provinciales o nacionales competentes. Estos permisos o las constancias de su solicitud deberán presentarse en el EPRE, previo a la emisión del correspondiente Certificado. Otorgado el Certificado de Conveniencia y Necesidad Pública, no podrá darse inicio a la obra sin la previa acreditación ante el EPRE de haber obtenido efectivamente dichos permisos.</w:t>
      </w:r>
    </w:p>
    <w:p w:rsidR="000E7716" w:rsidRPr="00BE14E6" w:rsidRDefault="000E7716" w:rsidP="005129A5">
      <w:pPr>
        <w:spacing w:after="0" w:line="240" w:lineRule="auto"/>
        <w:ind w:left="284"/>
        <w:jc w:val="both"/>
        <w:rPr>
          <w:rFonts w:ascii="Times New Roman" w:hAnsi="Times New Roman" w:cs="Times New Roman"/>
          <w:color w:val="000000"/>
          <w:sz w:val="24"/>
          <w:szCs w:val="24"/>
          <w:lang w:eastAsia="es-AR"/>
        </w:rPr>
      </w:pPr>
    </w:p>
    <w:p w:rsidR="000E7716" w:rsidRPr="00BE14E6" w:rsidRDefault="000E7716" w:rsidP="005129A5">
      <w:pPr>
        <w:spacing w:after="0" w:line="240" w:lineRule="auto"/>
        <w:ind w:left="284"/>
        <w:jc w:val="both"/>
        <w:rPr>
          <w:rFonts w:ascii="Times New Roman" w:hAnsi="Times New Roman" w:cs="Times New Roman"/>
          <w:color w:val="000000"/>
          <w:sz w:val="24"/>
          <w:szCs w:val="24"/>
          <w:lang w:eastAsia="es-AR"/>
        </w:rPr>
      </w:pPr>
    </w:p>
    <w:p w:rsidR="000E7716" w:rsidRPr="00BE14E6" w:rsidRDefault="000E7716" w:rsidP="005129A5">
      <w:pPr>
        <w:numPr>
          <w:ilvl w:val="0"/>
          <w:numId w:val="3"/>
        </w:numPr>
        <w:tabs>
          <w:tab w:val="clear" w:pos="720"/>
          <w:tab w:val="num" w:pos="-284"/>
        </w:tabs>
        <w:spacing w:line="240" w:lineRule="auto"/>
        <w:ind w:left="142" w:hanging="142"/>
        <w:jc w:val="both"/>
        <w:textAlignment w:val="baseline"/>
        <w:rPr>
          <w:rFonts w:ascii="Times New Roman" w:hAnsi="Times New Roman" w:cs="Times New Roman"/>
          <w:b/>
          <w:bCs/>
          <w:color w:val="000000"/>
          <w:sz w:val="24"/>
          <w:szCs w:val="24"/>
          <w:lang w:eastAsia="es-AR"/>
        </w:rPr>
      </w:pPr>
      <w:r w:rsidRPr="00BE14E6">
        <w:rPr>
          <w:rFonts w:ascii="Times New Roman" w:hAnsi="Times New Roman" w:cs="Times New Roman"/>
          <w:b/>
          <w:bCs/>
          <w:color w:val="000000"/>
          <w:sz w:val="24"/>
          <w:szCs w:val="24"/>
          <w:lang w:eastAsia="es-AR"/>
        </w:rPr>
        <w:t>REVOCACION DEL CERTIFICADO DE CONVENIENCIA Y NECESIDAD PUBLICA</w:t>
      </w:r>
    </w:p>
    <w:p w:rsidR="000E7716" w:rsidRPr="00BE14E6" w:rsidRDefault="000E7716" w:rsidP="005129A5">
      <w:pPr>
        <w:spacing w:after="0" w:line="240" w:lineRule="auto"/>
        <w:jc w:val="both"/>
        <w:rPr>
          <w:rFonts w:ascii="Times New Roman" w:hAnsi="Times New Roman" w:cs="Times New Roman"/>
          <w:color w:val="000000"/>
          <w:sz w:val="24"/>
          <w:szCs w:val="24"/>
          <w:lang w:eastAsia="es-AR"/>
        </w:rPr>
      </w:pPr>
    </w:p>
    <w:p w:rsidR="000E7716" w:rsidRPr="00031903" w:rsidRDefault="000E7716" w:rsidP="005129A5">
      <w:pPr>
        <w:tabs>
          <w:tab w:val="left" w:pos="993"/>
        </w:tabs>
        <w:spacing w:after="0" w:line="240" w:lineRule="auto"/>
        <w:ind w:left="142"/>
        <w:jc w:val="both"/>
        <w:rPr>
          <w:rFonts w:ascii="Times New Roman" w:hAnsi="Times New Roman" w:cs="Times New Roman"/>
          <w:color w:val="FF0000"/>
          <w:sz w:val="24"/>
          <w:szCs w:val="24"/>
          <w:lang w:eastAsia="es-AR"/>
        </w:rPr>
      </w:pPr>
      <w:r w:rsidRPr="00BE14E6">
        <w:rPr>
          <w:rFonts w:ascii="Times New Roman" w:hAnsi="Times New Roman" w:cs="Times New Roman"/>
          <w:color w:val="000000"/>
          <w:sz w:val="24"/>
          <w:szCs w:val="24"/>
          <w:lang w:eastAsia="es-AR"/>
        </w:rPr>
        <w:t xml:space="preserve">Revocación. </w:t>
      </w:r>
      <w:r w:rsidRPr="00031903">
        <w:rPr>
          <w:rFonts w:ascii="Times New Roman" w:hAnsi="Times New Roman" w:cs="Times New Roman"/>
          <w:color w:val="FF0000"/>
          <w:sz w:val="24"/>
          <w:szCs w:val="24"/>
          <w:lang w:eastAsia="es-AR"/>
        </w:rPr>
        <w:t>El Certificado de Conveniencia y Necesidad Pública otorgado por el EPRE podrá revocarse  en los siguientes casos:</w:t>
      </w:r>
    </w:p>
    <w:p w:rsidR="000E7716" w:rsidRPr="00031903" w:rsidRDefault="000E7716" w:rsidP="005129A5">
      <w:pPr>
        <w:tabs>
          <w:tab w:val="left" w:pos="993"/>
        </w:tabs>
        <w:spacing w:after="0" w:line="240" w:lineRule="auto"/>
        <w:jc w:val="both"/>
        <w:rPr>
          <w:rFonts w:ascii="Times New Roman" w:hAnsi="Times New Roman" w:cs="Times New Roman"/>
          <w:color w:val="FF0000"/>
          <w:sz w:val="24"/>
          <w:szCs w:val="24"/>
          <w:lang w:eastAsia="es-AR"/>
        </w:rPr>
      </w:pPr>
    </w:p>
    <w:p w:rsidR="000E7716" w:rsidRPr="00BE14E6" w:rsidRDefault="000E7716" w:rsidP="005129A5">
      <w:pPr>
        <w:pStyle w:val="ListParagraph"/>
        <w:numPr>
          <w:ilvl w:val="0"/>
          <w:numId w:val="6"/>
        </w:numPr>
        <w:tabs>
          <w:tab w:val="left" w:pos="-284"/>
        </w:tabs>
        <w:spacing w:after="0" w:line="240" w:lineRule="auto"/>
        <w:ind w:left="142" w:firstLine="0"/>
        <w:jc w:val="both"/>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A pedido del solicitante, cuando amerite razón suficiente a consideración del EPRE.</w:t>
      </w:r>
    </w:p>
    <w:p w:rsidR="000E7716" w:rsidRPr="00BE14E6" w:rsidRDefault="000E7716" w:rsidP="005129A5">
      <w:pPr>
        <w:pStyle w:val="ListParagraph"/>
        <w:numPr>
          <w:ilvl w:val="0"/>
          <w:numId w:val="6"/>
        </w:numPr>
        <w:tabs>
          <w:tab w:val="left" w:pos="-284"/>
        </w:tabs>
        <w:spacing w:after="0" w:line="240" w:lineRule="auto"/>
        <w:ind w:left="709" w:hanging="567"/>
        <w:jc w:val="both"/>
        <w:rPr>
          <w:rFonts w:ascii="Times New Roman" w:hAnsi="Times New Roman" w:cs="Times New Roman"/>
          <w:color w:val="000000"/>
          <w:sz w:val="24"/>
          <w:szCs w:val="24"/>
          <w:lang w:eastAsia="es-AR"/>
        </w:rPr>
      </w:pPr>
      <w:r w:rsidRPr="00BE14E6">
        <w:rPr>
          <w:rFonts w:ascii="Times New Roman" w:hAnsi="Times New Roman" w:cs="Times New Roman"/>
          <w:color w:val="000000"/>
          <w:sz w:val="24"/>
          <w:szCs w:val="24"/>
          <w:lang w:eastAsia="es-AR"/>
        </w:rPr>
        <w:t xml:space="preserve">Cuando transcurrido el plazo de trescientos sesenta y cinco (365) días a partir de la fecha de otorgamiento del Certificado de Conveniencia y Necesidad Pública por el EPRE, no se hayan iniciado las obras. </w:t>
      </w:r>
    </w:p>
    <w:p w:rsidR="000E7716" w:rsidRDefault="000E7716" w:rsidP="006F54B8">
      <w:pPr>
        <w:pStyle w:val="ListParagraph"/>
        <w:numPr>
          <w:ilvl w:val="0"/>
          <w:numId w:val="6"/>
        </w:numPr>
        <w:tabs>
          <w:tab w:val="left" w:pos="-284"/>
        </w:tabs>
        <w:spacing w:after="0" w:line="240" w:lineRule="auto"/>
        <w:ind w:left="709" w:hanging="567"/>
        <w:jc w:val="both"/>
      </w:pPr>
      <w:r w:rsidRPr="006F54B8">
        <w:rPr>
          <w:rFonts w:ascii="Times New Roman" w:hAnsi="Times New Roman" w:cs="Times New Roman"/>
          <w:color w:val="000000"/>
          <w:sz w:val="24"/>
          <w:szCs w:val="24"/>
          <w:lang w:eastAsia="es-AR"/>
        </w:rPr>
        <w:t>Cuando el proyecto definitivo o la obra no se corresponda con el proyecto aprobado, en base al cual fue otorgado el Certificado de Conveniencia y Necesidad Pública.</w:t>
      </w:r>
    </w:p>
    <w:sectPr w:rsidR="000E7716" w:rsidSect="005129A5">
      <w:footerReference w:type="default" r:id="rId7"/>
      <w:pgSz w:w="12240" w:h="15840"/>
      <w:pgMar w:top="2552" w:right="1418"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7716" w:rsidRDefault="000E7716" w:rsidP="006B5E3E">
      <w:pPr>
        <w:spacing w:after="0" w:line="240" w:lineRule="auto"/>
      </w:pPr>
      <w:r>
        <w:separator/>
      </w:r>
    </w:p>
  </w:endnote>
  <w:endnote w:type="continuationSeparator" w:id="1">
    <w:p w:rsidR="000E7716" w:rsidRDefault="000E7716" w:rsidP="006B5E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716" w:rsidRDefault="000E7716" w:rsidP="006F54B8">
    <w:pPr>
      <w:pStyle w:val="Footer"/>
      <w:jc w:val="right"/>
      <w:rPr>
        <w:rFonts w:ascii="Cambria" w:hAnsi="Cambria" w:cs="Cambria"/>
      </w:rPr>
    </w:pPr>
  </w:p>
  <w:p w:rsidR="000E7716" w:rsidRDefault="000E7716" w:rsidP="006F54B8">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7716" w:rsidRDefault="000E7716" w:rsidP="006B5E3E">
      <w:pPr>
        <w:spacing w:after="0" w:line="240" w:lineRule="auto"/>
      </w:pPr>
      <w:r>
        <w:separator/>
      </w:r>
    </w:p>
  </w:footnote>
  <w:footnote w:type="continuationSeparator" w:id="1">
    <w:p w:rsidR="000E7716" w:rsidRDefault="000E7716" w:rsidP="006B5E3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3D65C5"/>
    <w:multiLevelType w:val="multilevel"/>
    <w:tmpl w:val="0BAAE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1622A54"/>
    <w:multiLevelType w:val="multilevel"/>
    <w:tmpl w:val="1D14F16E"/>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0104328"/>
    <w:multiLevelType w:val="multilevel"/>
    <w:tmpl w:val="1BEE04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AD16067"/>
    <w:multiLevelType w:val="hybridMultilevel"/>
    <w:tmpl w:val="4CCC8856"/>
    <w:lvl w:ilvl="0" w:tplc="F0F697D2">
      <w:start w:val="2"/>
      <w:numFmt w:val="upperRoman"/>
      <w:lvlText w:val="%1."/>
      <w:lvlJc w:val="right"/>
      <w:pPr>
        <w:tabs>
          <w:tab w:val="num" w:pos="720"/>
        </w:tabs>
        <w:ind w:left="720" w:hanging="360"/>
      </w:pPr>
    </w:lvl>
    <w:lvl w:ilvl="1" w:tplc="D99237F0">
      <w:start w:val="1"/>
      <w:numFmt w:val="decimal"/>
      <w:lvlText w:val="%2."/>
      <w:lvlJc w:val="left"/>
      <w:pPr>
        <w:tabs>
          <w:tab w:val="num" w:pos="1440"/>
        </w:tabs>
        <w:ind w:left="1440" w:hanging="360"/>
      </w:pPr>
    </w:lvl>
    <w:lvl w:ilvl="2" w:tplc="3CD633FE">
      <w:start w:val="1"/>
      <w:numFmt w:val="decimal"/>
      <w:lvlText w:val="%3."/>
      <w:lvlJc w:val="left"/>
      <w:pPr>
        <w:tabs>
          <w:tab w:val="num" w:pos="2160"/>
        </w:tabs>
        <w:ind w:left="2160" w:hanging="360"/>
      </w:pPr>
    </w:lvl>
    <w:lvl w:ilvl="3" w:tplc="F5685C12">
      <w:start w:val="1"/>
      <w:numFmt w:val="decimal"/>
      <w:lvlText w:val="%4."/>
      <w:lvlJc w:val="left"/>
      <w:pPr>
        <w:tabs>
          <w:tab w:val="num" w:pos="2880"/>
        </w:tabs>
        <w:ind w:left="2880" w:hanging="360"/>
      </w:pPr>
    </w:lvl>
    <w:lvl w:ilvl="4" w:tplc="AC3AADFE">
      <w:start w:val="1"/>
      <w:numFmt w:val="decimal"/>
      <w:lvlText w:val="%5."/>
      <w:lvlJc w:val="left"/>
      <w:pPr>
        <w:tabs>
          <w:tab w:val="num" w:pos="3600"/>
        </w:tabs>
        <w:ind w:left="3600" w:hanging="360"/>
      </w:pPr>
    </w:lvl>
    <w:lvl w:ilvl="5" w:tplc="82D0CD0C">
      <w:start w:val="1"/>
      <w:numFmt w:val="decimal"/>
      <w:lvlText w:val="%6."/>
      <w:lvlJc w:val="left"/>
      <w:pPr>
        <w:tabs>
          <w:tab w:val="num" w:pos="4320"/>
        </w:tabs>
        <w:ind w:left="4320" w:hanging="360"/>
      </w:pPr>
    </w:lvl>
    <w:lvl w:ilvl="6" w:tplc="DDEC3D3A">
      <w:start w:val="1"/>
      <w:numFmt w:val="decimal"/>
      <w:lvlText w:val="%7."/>
      <w:lvlJc w:val="left"/>
      <w:pPr>
        <w:tabs>
          <w:tab w:val="num" w:pos="5040"/>
        </w:tabs>
        <w:ind w:left="5040" w:hanging="360"/>
      </w:pPr>
    </w:lvl>
    <w:lvl w:ilvl="7" w:tplc="47D4F874">
      <w:start w:val="1"/>
      <w:numFmt w:val="decimal"/>
      <w:lvlText w:val="%8."/>
      <w:lvlJc w:val="left"/>
      <w:pPr>
        <w:tabs>
          <w:tab w:val="num" w:pos="5760"/>
        </w:tabs>
        <w:ind w:left="5760" w:hanging="360"/>
      </w:pPr>
    </w:lvl>
    <w:lvl w:ilvl="8" w:tplc="FC2CC8B2">
      <w:start w:val="1"/>
      <w:numFmt w:val="decimal"/>
      <w:lvlText w:val="%9."/>
      <w:lvlJc w:val="left"/>
      <w:pPr>
        <w:tabs>
          <w:tab w:val="num" w:pos="6480"/>
        </w:tabs>
        <w:ind w:left="6480" w:hanging="360"/>
      </w:pPr>
    </w:lvl>
  </w:abstractNum>
  <w:abstractNum w:abstractNumId="4">
    <w:nsid w:val="79CC4C5E"/>
    <w:multiLevelType w:val="hybridMultilevel"/>
    <w:tmpl w:val="DE7CECE2"/>
    <w:lvl w:ilvl="0" w:tplc="2916BE02">
      <w:start w:val="1"/>
      <w:numFmt w:val="lowerLetter"/>
      <w:lvlText w:val="%1)"/>
      <w:lvlJc w:val="left"/>
      <w:pPr>
        <w:ind w:left="780" w:hanging="420"/>
      </w:pPr>
      <w:rPr>
        <w:rFonts w:hint="default"/>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5">
    <w:nsid w:val="7C187018"/>
    <w:multiLevelType w:val="multilevel"/>
    <w:tmpl w:val="32CE7B4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2"/>
    <w:lvlOverride w:ilvl="0">
      <w:lvl w:ilvl="0">
        <w:numFmt w:val="upperRoman"/>
        <w:lvlText w:val="%1."/>
        <w:lvlJc w:val="right"/>
      </w:lvl>
    </w:lvlOverride>
  </w:num>
  <w:num w:numId="2">
    <w:abstractNumId w:val="0"/>
    <w:lvlOverride w:ilvl="0">
      <w:lvl w:ilvl="0">
        <w:numFmt w:val="lowerLetter"/>
        <w:lvlText w:val="%1."/>
        <w:lvlJc w:val="left"/>
      </w:lvl>
    </w:lvlOverride>
  </w:num>
  <w:num w:numId="3">
    <w:abstractNumId w:val="3"/>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129A5"/>
    <w:rsid w:val="00031903"/>
    <w:rsid w:val="000E7716"/>
    <w:rsid w:val="003F6330"/>
    <w:rsid w:val="00476129"/>
    <w:rsid w:val="005129A5"/>
    <w:rsid w:val="00533A3F"/>
    <w:rsid w:val="006B5E3E"/>
    <w:rsid w:val="006F54B8"/>
    <w:rsid w:val="00917334"/>
    <w:rsid w:val="009F0C8A"/>
    <w:rsid w:val="00B27524"/>
    <w:rsid w:val="00B84BA4"/>
    <w:rsid w:val="00BE14E6"/>
    <w:rsid w:val="00D776E8"/>
    <w:rsid w:val="00FB5923"/>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9A5"/>
    <w:pPr>
      <w:spacing w:after="200" w:line="276" w:lineRule="auto"/>
    </w:pPr>
    <w:rPr>
      <w:rFonts w:cs="Calibri"/>
      <w:lang w:val="es-AR"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
    <w:name w:val="st"/>
    <w:basedOn w:val="DefaultParagraphFont"/>
    <w:uiPriority w:val="99"/>
    <w:rsid w:val="005129A5"/>
  </w:style>
  <w:style w:type="paragraph" w:styleId="ListParagraph">
    <w:name w:val="List Paragraph"/>
    <w:basedOn w:val="Normal"/>
    <w:uiPriority w:val="99"/>
    <w:qFormat/>
    <w:rsid w:val="005129A5"/>
    <w:pPr>
      <w:ind w:left="720"/>
    </w:pPr>
  </w:style>
  <w:style w:type="paragraph" w:styleId="Footer">
    <w:name w:val="footer"/>
    <w:basedOn w:val="Normal"/>
    <w:link w:val="FooterChar"/>
    <w:uiPriority w:val="99"/>
    <w:rsid w:val="005129A5"/>
    <w:pPr>
      <w:tabs>
        <w:tab w:val="center" w:pos="4419"/>
        <w:tab w:val="right" w:pos="8838"/>
      </w:tabs>
      <w:spacing w:after="0" w:line="240" w:lineRule="auto"/>
    </w:pPr>
  </w:style>
  <w:style w:type="character" w:customStyle="1" w:styleId="FooterChar">
    <w:name w:val="Footer Char"/>
    <w:basedOn w:val="DefaultParagraphFont"/>
    <w:link w:val="Footer"/>
    <w:uiPriority w:val="99"/>
    <w:locked/>
    <w:rsid w:val="005129A5"/>
    <w:rPr>
      <w:rFonts w:ascii="Calibri" w:eastAsia="Times New Roman" w:hAnsi="Calibri"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968</Words>
  <Characters>5327</Characters>
  <Application>Microsoft Office Outlook</Application>
  <DocSecurity>0</DocSecurity>
  <Lines>0</Lines>
  <Paragraphs>0</Paragraphs>
  <ScaleCrop>false</ScaleCrop>
  <Company>EprE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Lanuttir</dc:creator>
  <cp:keywords/>
  <dc:description/>
  <cp:lastModifiedBy>azzaronic</cp:lastModifiedBy>
  <cp:revision>3</cp:revision>
  <cp:lastPrinted>2018-01-23T17:42:00Z</cp:lastPrinted>
  <dcterms:created xsi:type="dcterms:W3CDTF">2018-01-23T17:33:00Z</dcterms:created>
  <dcterms:modified xsi:type="dcterms:W3CDTF">2018-01-24T13:57:00Z</dcterms:modified>
</cp:coreProperties>
</file>